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F4" w:rsidRPr="007228B4" w:rsidRDefault="00B44EF4" w:rsidP="000E37FB">
      <w:pPr>
        <w:ind w:left="-426" w:right="-574"/>
        <w:jc w:val="center"/>
        <w:rPr>
          <w:rFonts w:ascii="Arial" w:hAnsi="Arial" w:cs="Arial"/>
          <w:b/>
          <w:u w:val="single"/>
          <w:lang w:val="el-GR"/>
        </w:rPr>
      </w:pPr>
      <w:r w:rsidRPr="007228B4">
        <w:rPr>
          <w:rFonts w:ascii="Arial" w:hAnsi="Arial" w:cs="Arial"/>
          <w:b/>
          <w:u w:val="single"/>
          <w:lang w:val="el-GR"/>
        </w:rPr>
        <w:t>Οι περί των Τεχνιτών Οχημάτων Νόμοι του 2006 έως 2014</w:t>
      </w:r>
    </w:p>
    <w:p w:rsidR="00992FD1" w:rsidRPr="00992FD1" w:rsidRDefault="00CC04FA" w:rsidP="000E37FB">
      <w:pPr>
        <w:ind w:left="-426" w:right="-574"/>
        <w:jc w:val="center"/>
        <w:rPr>
          <w:rFonts w:ascii="Arial" w:hAnsi="Arial" w:cs="Arial"/>
          <w:b/>
          <w:u w:val="single"/>
          <w:lang w:val="el-GR"/>
        </w:rPr>
      </w:pPr>
      <w:r w:rsidRPr="007228B4">
        <w:rPr>
          <w:rFonts w:ascii="Arial" w:hAnsi="Arial" w:cs="Arial"/>
          <w:b/>
          <w:u w:val="single"/>
          <w:lang w:val="el-GR"/>
        </w:rPr>
        <w:t>ΑΝΑΚΟΙΝΩΣΗ</w:t>
      </w:r>
      <w:r w:rsidR="00B44EF4" w:rsidRPr="007228B4">
        <w:rPr>
          <w:rFonts w:ascii="Arial" w:hAnsi="Arial" w:cs="Arial"/>
          <w:b/>
          <w:u w:val="single"/>
          <w:lang w:val="el-GR"/>
        </w:rPr>
        <w:t xml:space="preserve"> </w:t>
      </w:r>
    </w:p>
    <w:p w:rsidR="00982893" w:rsidRPr="007228B4" w:rsidRDefault="00B44EF4" w:rsidP="000E37FB">
      <w:pPr>
        <w:ind w:left="-426" w:right="-574"/>
        <w:jc w:val="center"/>
        <w:rPr>
          <w:rFonts w:ascii="Arial" w:hAnsi="Arial" w:cs="Arial"/>
          <w:b/>
          <w:u w:val="single"/>
          <w:lang w:val="el-GR"/>
        </w:rPr>
      </w:pPr>
      <w:r w:rsidRPr="007228B4">
        <w:rPr>
          <w:rFonts w:ascii="Arial" w:hAnsi="Arial" w:cs="Arial"/>
          <w:b/>
          <w:u w:val="single"/>
          <w:lang w:val="el-GR"/>
        </w:rPr>
        <w:t>ΕΞ ΕΠΑΓΓΕΛΜΑΤΟΣ ΤΕΧΝΙΤΕΣ ΟΧΗΜΑΤΩΝ</w:t>
      </w:r>
    </w:p>
    <w:p w:rsidR="00C609C8" w:rsidRPr="00165CE3" w:rsidRDefault="00C609C8" w:rsidP="000E37FB">
      <w:pPr>
        <w:ind w:left="-426" w:right="-574"/>
        <w:jc w:val="both"/>
        <w:rPr>
          <w:rFonts w:ascii="Arial" w:hAnsi="Arial" w:cs="Arial"/>
          <w:lang w:val="el-GR"/>
        </w:rPr>
      </w:pPr>
      <w:r w:rsidRPr="00165CE3">
        <w:rPr>
          <w:rFonts w:ascii="Arial" w:hAnsi="Arial" w:cs="Arial"/>
          <w:lang w:val="el-GR"/>
        </w:rPr>
        <w:t xml:space="preserve">Με βάση το Νόμο Ν. </w:t>
      </w:r>
      <w:r w:rsidR="00165CE3" w:rsidRPr="00165CE3">
        <w:rPr>
          <w:rFonts w:ascii="Arial" w:hAnsi="Arial" w:cs="Arial"/>
          <w:lang w:val="el-GR"/>
        </w:rPr>
        <w:t>188</w:t>
      </w:r>
      <w:r w:rsidRPr="00165CE3">
        <w:rPr>
          <w:rFonts w:ascii="Arial" w:hAnsi="Arial" w:cs="Arial"/>
          <w:lang w:val="el-GR"/>
        </w:rPr>
        <w:t>(Ι)/2014 που δημοσιεύτηκε στην Επίσημη Εφημερίδα της Δημοκρατίας</w:t>
      </w:r>
      <w:r w:rsidR="00992FD1" w:rsidRPr="00992FD1">
        <w:rPr>
          <w:rFonts w:ascii="Arial" w:hAnsi="Arial" w:cs="Arial"/>
          <w:lang w:val="el-GR"/>
        </w:rPr>
        <w:t>,</w:t>
      </w:r>
      <w:r w:rsidRPr="00165CE3">
        <w:rPr>
          <w:rFonts w:ascii="Arial" w:hAnsi="Arial" w:cs="Arial"/>
          <w:lang w:val="el-GR"/>
        </w:rPr>
        <w:t xml:space="preserve"> </w:t>
      </w:r>
      <w:r w:rsidR="00165CE3" w:rsidRPr="00165CE3">
        <w:rPr>
          <w:rFonts w:ascii="Arial" w:hAnsi="Arial" w:cs="Arial"/>
          <w:lang w:val="el-GR"/>
        </w:rPr>
        <w:t>στις</w:t>
      </w:r>
      <w:r w:rsidRPr="00165CE3">
        <w:rPr>
          <w:rFonts w:ascii="Arial" w:hAnsi="Arial" w:cs="Arial"/>
          <w:lang w:val="el-GR"/>
        </w:rPr>
        <w:t xml:space="preserve"> </w:t>
      </w:r>
      <w:r w:rsidR="00165CE3" w:rsidRPr="00165CE3">
        <w:rPr>
          <w:rFonts w:ascii="Arial" w:hAnsi="Arial" w:cs="Arial"/>
          <w:lang w:val="el-GR"/>
        </w:rPr>
        <w:t>12</w:t>
      </w:r>
      <w:r w:rsidRPr="00165CE3">
        <w:rPr>
          <w:rFonts w:ascii="Arial" w:hAnsi="Arial" w:cs="Arial"/>
          <w:lang w:val="el-GR"/>
        </w:rPr>
        <w:t xml:space="preserve"> Δεκεμβρίου 2014</w:t>
      </w:r>
      <w:r w:rsidR="00992FD1" w:rsidRPr="00992FD1">
        <w:rPr>
          <w:rFonts w:ascii="Arial" w:hAnsi="Arial" w:cs="Arial"/>
          <w:lang w:val="el-GR"/>
        </w:rPr>
        <w:t xml:space="preserve">, </w:t>
      </w:r>
      <w:r w:rsidR="00992FD1">
        <w:rPr>
          <w:rFonts w:ascii="Arial" w:hAnsi="Arial" w:cs="Arial"/>
          <w:lang w:val="el-GR"/>
        </w:rPr>
        <w:t>ο οποίος</w:t>
      </w:r>
      <w:r w:rsidRPr="00165CE3">
        <w:rPr>
          <w:rFonts w:ascii="Arial" w:hAnsi="Arial" w:cs="Arial"/>
          <w:lang w:val="el-GR"/>
        </w:rPr>
        <w:t xml:space="preserve"> τροποποιεί τους περί των Τεχνιτών Οχημάτων Νόμους</w:t>
      </w:r>
      <w:r w:rsidR="000E37FB" w:rsidRPr="00165CE3">
        <w:rPr>
          <w:rFonts w:ascii="Arial" w:hAnsi="Arial" w:cs="Arial"/>
          <w:lang w:val="el-GR"/>
        </w:rPr>
        <w:t>,</w:t>
      </w:r>
      <w:r w:rsidRPr="00165CE3">
        <w:rPr>
          <w:rFonts w:ascii="Arial" w:hAnsi="Arial" w:cs="Arial"/>
          <w:lang w:val="el-GR"/>
        </w:rPr>
        <w:t xml:space="preserve"> </w:t>
      </w:r>
      <w:r w:rsidRPr="001A397D">
        <w:rPr>
          <w:rFonts w:ascii="Arial" w:hAnsi="Arial" w:cs="Arial"/>
          <w:b/>
          <w:lang w:val="el-GR"/>
        </w:rPr>
        <w:t xml:space="preserve">η μεταβατική διάταξη που </w:t>
      </w:r>
      <w:r w:rsidR="00042A92" w:rsidRPr="001A397D">
        <w:rPr>
          <w:rFonts w:ascii="Arial" w:hAnsi="Arial" w:cs="Arial"/>
          <w:b/>
          <w:lang w:val="el-GR"/>
        </w:rPr>
        <w:t>αφορά στην</w:t>
      </w:r>
      <w:r w:rsidRPr="001A397D">
        <w:rPr>
          <w:rFonts w:ascii="Arial" w:hAnsi="Arial" w:cs="Arial"/>
          <w:b/>
          <w:lang w:val="el-GR"/>
        </w:rPr>
        <w:t xml:space="preserve"> έκδοση άδειας σε </w:t>
      </w:r>
      <w:r w:rsidR="00042A92" w:rsidRPr="001A397D">
        <w:rPr>
          <w:rFonts w:ascii="Arial" w:hAnsi="Arial" w:cs="Arial"/>
          <w:b/>
          <w:lang w:val="el-GR"/>
        </w:rPr>
        <w:t>«</w:t>
      </w:r>
      <w:r w:rsidRPr="001A397D">
        <w:rPr>
          <w:rFonts w:ascii="Arial" w:hAnsi="Arial" w:cs="Arial"/>
          <w:b/>
          <w:lang w:val="el-GR"/>
        </w:rPr>
        <w:t>εξ επαγγέλματος τεχνίτες οχημάτων</w:t>
      </w:r>
      <w:r w:rsidR="00042A92" w:rsidRPr="001A397D">
        <w:rPr>
          <w:rFonts w:ascii="Arial" w:hAnsi="Arial" w:cs="Arial"/>
          <w:b/>
          <w:lang w:val="el-GR"/>
        </w:rPr>
        <w:t>»</w:t>
      </w:r>
      <w:r w:rsidR="000E37FB" w:rsidRPr="001A397D">
        <w:rPr>
          <w:rFonts w:ascii="Arial" w:hAnsi="Arial" w:cs="Arial"/>
          <w:b/>
          <w:lang w:val="el-GR"/>
        </w:rPr>
        <w:t>,</w:t>
      </w:r>
      <w:r w:rsidRPr="00165CE3">
        <w:rPr>
          <w:rFonts w:ascii="Arial" w:hAnsi="Arial" w:cs="Arial"/>
          <w:lang w:val="el-GR"/>
        </w:rPr>
        <w:t xml:space="preserve"> </w:t>
      </w:r>
      <w:r w:rsidRPr="001A397D">
        <w:rPr>
          <w:rFonts w:ascii="Arial" w:hAnsi="Arial" w:cs="Arial"/>
          <w:b/>
          <w:lang w:val="el-GR"/>
        </w:rPr>
        <w:t>καταργείται την 30</w:t>
      </w:r>
      <w:r w:rsidRPr="001A397D">
        <w:rPr>
          <w:rFonts w:ascii="Arial" w:hAnsi="Arial" w:cs="Arial"/>
          <w:b/>
          <w:vertAlign w:val="superscript"/>
          <w:lang w:val="el-GR"/>
        </w:rPr>
        <w:t>η</w:t>
      </w:r>
      <w:r w:rsidRPr="001A397D">
        <w:rPr>
          <w:rFonts w:ascii="Arial" w:hAnsi="Arial" w:cs="Arial"/>
          <w:b/>
          <w:lang w:val="el-GR"/>
        </w:rPr>
        <w:t xml:space="preserve"> Νοεμβρίου 2015</w:t>
      </w:r>
      <w:r w:rsidRPr="00165CE3">
        <w:rPr>
          <w:rFonts w:ascii="Arial" w:hAnsi="Arial" w:cs="Arial"/>
          <w:lang w:val="el-GR"/>
        </w:rPr>
        <w:t>.</w:t>
      </w:r>
    </w:p>
    <w:p w:rsidR="00F15E2B" w:rsidRPr="00165CE3" w:rsidRDefault="00165CE3" w:rsidP="000E37FB">
      <w:pPr>
        <w:ind w:left="-426" w:right="-574"/>
        <w:jc w:val="both"/>
        <w:rPr>
          <w:rFonts w:ascii="Arial" w:hAnsi="Arial" w:cs="Arial"/>
          <w:lang w:val="el-GR"/>
        </w:rPr>
      </w:pPr>
      <w:r w:rsidRPr="00165CE3">
        <w:rPr>
          <w:rFonts w:ascii="Arial" w:hAnsi="Arial" w:cs="Arial"/>
          <w:lang w:val="el-GR"/>
        </w:rPr>
        <w:t>Η</w:t>
      </w:r>
      <w:r w:rsidR="00F15E2B" w:rsidRPr="00165CE3">
        <w:rPr>
          <w:rFonts w:ascii="Arial" w:hAnsi="Arial" w:cs="Arial"/>
          <w:lang w:val="el-GR"/>
        </w:rPr>
        <w:t xml:space="preserve"> εν λόγω διάταξη</w:t>
      </w:r>
      <w:r w:rsidRPr="00165CE3">
        <w:rPr>
          <w:rFonts w:ascii="Arial" w:hAnsi="Arial" w:cs="Arial"/>
          <w:lang w:val="el-GR"/>
        </w:rPr>
        <w:t xml:space="preserve">, </w:t>
      </w:r>
      <w:r w:rsidR="00F15E2B" w:rsidRPr="00165CE3">
        <w:rPr>
          <w:rFonts w:ascii="Arial" w:hAnsi="Arial" w:cs="Arial"/>
          <w:lang w:val="el-GR"/>
        </w:rPr>
        <w:t>προνοεί ότι, όσοι αποδεδειγμένα ασκούσαν επάγγελμα ειδικότητας που καθορί</w:t>
      </w:r>
      <w:r w:rsidR="000E37FB" w:rsidRPr="00165CE3">
        <w:rPr>
          <w:rFonts w:ascii="Arial" w:hAnsi="Arial" w:cs="Arial"/>
          <w:lang w:val="el-GR"/>
        </w:rPr>
        <w:t>ζεται στους Νόμους, πριν από την</w:t>
      </w:r>
      <w:r w:rsidR="00F15E2B" w:rsidRPr="00165CE3">
        <w:rPr>
          <w:rFonts w:ascii="Arial" w:hAnsi="Arial" w:cs="Arial"/>
          <w:lang w:val="el-GR"/>
        </w:rPr>
        <w:t xml:space="preserve"> 7</w:t>
      </w:r>
      <w:r w:rsidR="000E37FB" w:rsidRPr="00165CE3">
        <w:rPr>
          <w:rFonts w:ascii="Arial" w:hAnsi="Arial" w:cs="Arial"/>
          <w:vertAlign w:val="superscript"/>
          <w:lang w:val="el-GR"/>
        </w:rPr>
        <w:t>η</w:t>
      </w:r>
      <w:r w:rsidR="000E37FB" w:rsidRPr="00165CE3">
        <w:rPr>
          <w:rFonts w:ascii="Arial" w:hAnsi="Arial" w:cs="Arial"/>
          <w:lang w:val="el-GR"/>
        </w:rPr>
        <w:t xml:space="preserve"> </w:t>
      </w:r>
      <w:r w:rsidR="00F15E2B" w:rsidRPr="00165CE3">
        <w:rPr>
          <w:rFonts w:ascii="Arial" w:hAnsi="Arial" w:cs="Arial"/>
          <w:lang w:val="el-GR"/>
        </w:rPr>
        <w:t xml:space="preserve">Απριλίου 2006, μπορούν να </w:t>
      </w:r>
      <w:proofErr w:type="spellStart"/>
      <w:r w:rsidR="00F15E2B" w:rsidRPr="00165CE3">
        <w:rPr>
          <w:rFonts w:ascii="Arial" w:hAnsi="Arial" w:cs="Arial"/>
          <w:lang w:val="el-GR"/>
        </w:rPr>
        <w:t>αδειοδοτηθούν</w:t>
      </w:r>
      <w:proofErr w:type="spellEnd"/>
      <w:r w:rsidR="00F15E2B" w:rsidRPr="00165CE3">
        <w:rPr>
          <w:rFonts w:ascii="Arial" w:hAnsi="Arial" w:cs="Arial"/>
          <w:lang w:val="el-GR"/>
        </w:rPr>
        <w:t xml:space="preserve"> ως </w:t>
      </w:r>
      <w:r w:rsidR="00042A92" w:rsidRPr="00165CE3">
        <w:rPr>
          <w:rFonts w:ascii="Arial" w:hAnsi="Arial" w:cs="Arial"/>
          <w:lang w:val="el-GR"/>
        </w:rPr>
        <w:t>«</w:t>
      </w:r>
      <w:r w:rsidR="00F15E2B" w:rsidRPr="00165CE3">
        <w:rPr>
          <w:rFonts w:ascii="Arial" w:hAnsi="Arial" w:cs="Arial"/>
          <w:lang w:val="el-GR"/>
        </w:rPr>
        <w:t>εξ</w:t>
      </w:r>
      <w:r w:rsidR="00FD5E86" w:rsidRPr="00165CE3">
        <w:rPr>
          <w:rFonts w:ascii="Arial" w:hAnsi="Arial" w:cs="Arial"/>
          <w:lang w:val="el-GR"/>
        </w:rPr>
        <w:t xml:space="preserve"> επαγγέλματος τεχνίτες οχημάτων</w:t>
      </w:r>
      <w:r w:rsidR="00042A92" w:rsidRPr="00165CE3">
        <w:rPr>
          <w:rFonts w:ascii="Arial" w:hAnsi="Arial" w:cs="Arial"/>
          <w:lang w:val="el-GR"/>
        </w:rPr>
        <w:t>»</w:t>
      </w:r>
      <w:r w:rsidR="00FD5E86" w:rsidRPr="00165CE3">
        <w:rPr>
          <w:rFonts w:ascii="Arial" w:hAnsi="Arial" w:cs="Arial"/>
          <w:lang w:val="el-GR"/>
        </w:rPr>
        <w:t>.</w:t>
      </w:r>
    </w:p>
    <w:p w:rsidR="00C609C8" w:rsidRDefault="00992FD1" w:rsidP="000E37FB">
      <w:pPr>
        <w:ind w:left="-426" w:right="-574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</w:t>
      </w:r>
      <w:r w:rsidR="00F15E2B" w:rsidRPr="00165CE3">
        <w:rPr>
          <w:rFonts w:ascii="Arial" w:hAnsi="Arial" w:cs="Arial"/>
          <w:lang w:val="el-GR"/>
        </w:rPr>
        <w:t>πό</w:t>
      </w:r>
      <w:r w:rsidR="00C609C8" w:rsidRPr="00165CE3">
        <w:rPr>
          <w:rFonts w:ascii="Arial" w:hAnsi="Arial" w:cs="Arial"/>
          <w:lang w:val="el-GR"/>
        </w:rPr>
        <w:t xml:space="preserve"> την 1</w:t>
      </w:r>
      <w:r w:rsidR="00C609C8" w:rsidRPr="00165CE3">
        <w:rPr>
          <w:rFonts w:ascii="Arial" w:hAnsi="Arial" w:cs="Arial"/>
          <w:vertAlign w:val="superscript"/>
          <w:lang w:val="el-GR"/>
        </w:rPr>
        <w:t>η</w:t>
      </w:r>
      <w:r w:rsidR="00C609C8" w:rsidRPr="00165CE3">
        <w:rPr>
          <w:rFonts w:ascii="Arial" w:hAnsi="Arial" w:cs="Arial"/>
          <w:lang w:val="el-GR"/>
        </w:rPr>
        <w:t xml:space="preserve"> Δεκεμβρίου 2015, για να </w:t>
      </w:r>
      <w:r w:rsidR="00A57B2B">
        <w:rPr>
          <w:rFonts w:ascii="Arial" w:hAnsi="Arial" w:cs="Arial"/>
          <w:lang w:val="el-GR"/>
        </w:rPr>
        <w:t>εξασφαλίσει άδεια κάθε εξ επαγγέλματος τεχνίτης οχημάτων,</w:t>
      </w:r>
      <w:r w:rsidR="00B179B1" w:rsidRPr="00165CE3">
        <w:rPr>
          <w:rFonts w:ascii="Arial" w:hAnsi="Arial" w:cs="Arial"/>
          <w:lang w:val="el-GR"/>
        </w:rPr>
        <w:t xml:space="preserve"> </w:t>
      </w:r>
      <w:r w:rsidR="00F15E2B" w:rsidRPr="00165CE3">
        <w:rPr>
          <w:rFonts w:ascii="Arial" w:hAnsi="Arial" w:cs="Arial"/>
          <w:lang w:val="el-GR"/>
        </w:rPr>
        <w:t xml:space="preserve">θα πρέπει </w:t>
      </w:r>
      <w:r w:rsidR="001A397D">
        <w:rPr>
          <w:rFonts w:ascii="Arial" w:hAnsi="Arial" w:cs="Arial"/>
          <w:lang w:val="el-GR"/>
        </w:rPr>
        <w:t>(</w:t>
      </w:r>
      <w:r w:rsidR="001A397D" w:rsidRPr="001A397D">
        <w:rPr>
          <w:rFonts w:ascii="Arial" w:hAnsi="Arial" w:cs="Arial"/>
          <w:lang w:val="el-GR"/>
        </w:rPr>
        <w:t>α</w:t>
      </w:r>
      <w:r w:rsidR="001A397D">
        <w:rPr>
          <w:rFonts w:ascii="Arial" w:hAnsi="Arial" w:cs="Arial"/>
          <w:lang w:val="el-GR"/>
        </w:rPr>
        <w:t xml:space="preserve">) </w:t>
      </w:r>
      <w:r w:rsidR="00F15E2B" w:rsidRPr="00165CE3">
        <w:rPr>
          <w:rFonts w:ascii="Arial" w:hAnsi="Arial" w:cs="Arial"/>
          <w:lang w:val="el-GR"/>
        </w:rPr>
        <w:t xml:space="preserve">να κατέχει ακαδημαϊκά προσόντα, </w:t>
      </w:r>
      <w:r w:rsidR="001A397D">
        <w:rPr>
          <w:rFonts w:ascii="Arial" w:hAnsi="Arial" w:cs="Arial"/>
          <w:lang w:val="el-GR"/>
        </w:rPr>
        <w:t xml:space="preserve">(β) </w:t>
      </w:r>
      <w:r>
        <w:rPr>
          <w:rFonts w:ascii="Arial" w:hAnsi="Arial" w:cs="Arial"/>
          <w:lang w:val="el-GR"/>
        </w:rPr>
        <w:t xml:space="preserve">να έχει </w:t>
      </w:r>
      <w:r w:rsidR="00F15E2B" w:rsidRPr="00165CE3">
        <w:rPr>
          <w:rFonts w:ascii="Arial" w:hAnsi="Arial" w:cs="Arial"/>
          <w:lang w:val="el-GR"/>
        </w:rPr>
        <w:t xml:space="preserve">πείρα υπό την επίβλεψη </w:t>
      </w:r>
      <w:proofErr w:type="spellStart"/>
      <w:r w:rsidR="00F15E2B" w:rsidRPr="00165CE3">
        <w:rPr>
          <w:rFonts w:ascii="Arial" w:hAnsi="Arial" w:cs="Arial"/>
          <w:lang w:val="el-GR"/>
        </w:rPr>
        <w:t>αδειοδοτημένου</w:t>
      </w:r>
      <w:proofErr w:type="spellEnd"/>
      <w:r w:rsidR="00F15E2B" w:rsidRPr="00165CE3">
        <w:rPr>
          <w:rFonts w:ascii="Arial" w:hAnsi="Arial" w:cs="Arial"/>
          <w:lang w:val="el-GR"/>
        </w:rPr>
        <w:t xml:space="preserve"> τεχνίτη οχημάτων και </w:t>
      </w:r>
      <w:r>
        <w:rPr>
          <w:rFonts w:ascii="Arial" w:hAnsi="Arial" w:cs="Arial"/>
          <w:lang w:val="el-GR"/>
        </w:rPr>
        <w:t>(γ) αν κατέχει ακαδημαϊκό προσόν</w:t>
      </w:r>
      <w:r w:rsidR="00165CE3" w:rsidRPr="00165CE3">
        <w:rPr>
          <w:rFonts w:ascii="Arial" w:hAnsi="Arial" w:cs="Arial"/>
          <w:lang w:val="el-GR"/>
        </w:rPr>
        <w:t xml:space="preserve"> μέχρι</w:t>
      </w:r>
      <w:r>
        <w:rPr>
          <w:rFonts w:ascii="Arial" w:hAnsi="Arial" w:cs="Arial"/>
          <w:lang w:val="el-GR"/>
        </w:rPr>
        <w:t xml:space="preserve"> και απολυτήριο</w:t>
      </w:r>
      <w:r w:rsidR="00165CE3" w:rsidRPr="00165CE3">
        <w:rPr>
          <w:rFonts w:ascii="Arial" w:hAnsi="Arial" w:cs="Arial"/>
          <w:lang w:val="el-GR"/>
        </w:rPr>
        <w:t xml:space="preserve"> Τεχνικής Σχολής,</w:t>
      </w:r>
      <w:r w:rsidR="00F15E2B" w:rsidRPr="00165CE3">
        <w:rPr>
          <w:rFonts w:ascii="Arial" w:hAnsi="Arial" w:cs="Arial"/>
          <w:lang w:val="el-GR"/>
        </w:rPr>
        <w:t xml:space="preserve"> </w:t>
      </w:r>
      <w:r w:rsidR="00FD5E86" w:rsidRPr="00165CE3">
        <w:rPr>
          <w:rFonts w:ascii="Arial" w:hAnsi="Arial" w:cs="Arial"/>
          <w:lang w:val="el-GR"/>
        </w:rPr>
        <w:t>να επιτύχει</w:t>
      </w:r>
      <w:r w:rsidR="00F15E2B" w:rsidRPr="00165CE3">
        <w:rPr>
          <w:rFonts w:ascii="Arial" w:hAnsi="Arial" w:cs="Arial"/>
          <w:lang w:val="el-GR"/>
        </w:rPr>
        <w:t xml:space="preserve"> σε </w:t>
      </w:r>
      <w:r w:rsidR="00FD5E86" w:rsidRPr="00165CE3">
        <w:rPr>
          <w:rFonts w:ascii="Arial" w:hAnsi="Arial" w:cs="Arial"/>
          <w:lang w:val="el-GR"/>
        </w:rPr>
        <w:t>γραπτή εξέταση</w:t>
      </w:r>
      <w:r w:rsidR="00F15E2B" w:rsidRPr="00165CE3">
        <w:rPr>
          <w:rFonts w:ascii="Arial" w:hAnsi="Arial" w:cs="Arial"/>
          <w:lang w:val="el-GR"/>
        </w:rPr>
        <w:t>.</w:t>
      </w:r>
    </w:p>
    <w:p w:rsidR="00992FD1" w:rsidRDefault="00992FD1" w:rsidP="000E37FB">
      <w:pPr>
        <w:ind w:left="-426" w:right="-574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Ως εκ τούτου, πρόσωπα τα οποία ασκούσαν το επάγγελμα του τεχνίτη οχημάτων </w:t>
      </w:r>
      <w:r w:rsidRPr="00165CE3">
        <w:rPr>
          <w:rFonts w:ascii="Arial" w:hAnsi="Arial" w:cs="Arial"/>
          <w:lang w:val="el-GR"/>
        </w:rPr>
        <w:t>πριν από την 7</w:t>
      </w:r>
      <w:r w:rsidRPr="00165CE3">
        <w:rPr>
          <w:rFonts w:ascii="Arial" w:hAnsi="Arial" w:cs="Arial"/>
          <w:vertAlign w:val="superscript"/>
          <w:lang w:val="el-GR"/>
        </w:rPr>
        <w:t>η</w:t>
      </w:r>
      <w:r w:rsidRPr="00165CE3">
        <w:rPr>
          <w:rFonts w:ascii="Arial" w:hAnsi="Arial" w:cs="Arial"/>
          <w:lang w:val="el-GR"/>
        </w:rPr>
        <w:t xml:space="preserve"> Απριλίου 2006</w:t>
      </w:r>
      <w:r>
        <w:rPr>
          <w:rFonts w:ascii="Arial" w:hAnsi="Arial" w:cs="Arial"/>
          <w:lang w:val="el-GR"/>
        </w:rPr>
        <w:t xml:space="preserve"> και επιθυμούν να </w:t>
      </w:r>
      <w:proofErr w:type="spellStart"/>
      <w:r>
        <w:rPr>
          <w:rFonts w:ascii="Arial" w:hAnsi="Arial" w:cs="Arial"/>
          <w:lang w:val="el-GR"/>
        </w:rPr>
        <w:t>αδειοδοτηθούν</w:t>
      </w:r>
      <w:proofErr w:type="spellEnd"/>
      <w:r>
        <w:rPr>
          <w:rFonts w:ascii="Arial" w:hAnsi="Arial" w:cs="Arial"/>
          <w:lang w:val="el-GR"/>
        </w:rPr>
        <w:t xml:space="preserve"> ως εξ επαγγέλματος τεχνίτες οχημάτων, προτρέπονται να υποβάλουν σχετική αίτηση</w:t>
      </w:r>
      <w:r w:rsidR="0093541D">
        <w:rPr>
          <w:rFonts w:ascii="Arial" w:hAnsi="Arial" w:cs="Arial"/>
          <w:lang w:val="el-GR"/>
        </w:rPr>
        <w:t xml:space="preserve"> στο Τμήμα Ηλεκτρομηχανολογικών Υπηρεσιών.</w:t>
      </w:r>
    </w:p>
    <w:p w:rsidR="0087421F" w:rsidRPr="00165CE3" w:rsidRDefault="0087421F" w:rsidP="000E37FB">
      <w:pPr>
        <w:ind w:left="-426" w:right="-574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Σημειώνεται ότι, πρόσωπο το οποίο, ασκεί το επάγγελμα του τεχνίτη οχημάτων χωρίς να κατέχει ισχύουσα άδ</w:t>
      </w:r>
      <w:r w:rsidR="00992FD1">
        <w:rPr>
          <w:rFonts w:ascii="Arial" w:hAnsi="Arial" w:cs="Arial"/>
          <w:lang w:val="el-GR"/>
        </w:rPr>
        <w:t>εια, διαπράττει ποινικό αδίκημα.</w:t>
      </w:r>
    </w:p>
    <w:p w:rsidR="00F15E2B" w:rsidRPr="007228B4" w:rsidRDefault="000E37FB" w:rsidP="000E37FB">
      <w:pPr>
        <w:ind w:left="-426" w:right="-574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Πληροφοριακά, ο</w:t>
      </w:r>
      <w:r w:rsidR="00F15E2B" w:rsidRPr="007228B4">
        <w:rPr>
          <w:rFonts w:ascii="Arial" w:hAnsi="Arial" w:cs="Arial"/>
          <w:lang w:val="el-GR"/>
        </w:rPr>
        <w:t xml:space="preserve">ι ειδικότητες που </w:t>
      </w:r>
      <w:r w:rsidR="00FD5E86" w:rsidRPr="007228B4">
        <w:rPr>
          <w:rFonts w:ascii="Arial" w:hAnsi="Arial" w:cs="Arial"/>
          <w:lang w:val="el-GR"/>
        </w:rPr>
        <w:t>καθορίζονται</w:t>
      </w:r>
      <w:r w:rsidR="00F15E2B" w:rsidRPr="007228B4">
        <w:rPr>
          <w:rFonts w:ascii="Arial" w:hAnsi="Arial" w:cs="Arial"/>
          <w:lang w:val="el-GR"/>
        </w:rPr>
        <w:t xml:space="preserve"> στους Νόμους είναι</w:t>
      </w:r>
      <w:r w:rsidR="00DF01BA" w:rsidRPr="007228B4">
        <w:rPr>
          <w:rFonts w:ascii="Arial" w:hAnsi="Arial" w:cs="Arial"/>
          <w:lang w:val="el-GR"/>
        </w:rPr>
        <w:t>:</w:t>
      </w: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741"/>
        <w:gridCol w:w="5528"/>
      </w:tblGrid>
      <w:tr w:rsidR="00DF01BA" w:rsidRPr="007228B4" w:rsidTr="00DF01BA">
        <w:trPr>
          <w:jc w:val="center"/>
        </w:trPr>
        <w:tc>
          <w:tcPr>
            <w:tcW w:w="741" w:type="dxa"/>
          </w:tcPr>
          <w:p w:rsidR="00DF01BA" w:rsidRPr="007228B4" w:rsidRDefault="00DF01BA" w:rsidP="00DF01BA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7228B4">
              <w:rPr>
                <w:rFonts w:ascii="Arial" w:hAnsi="Arial" w:cs="Arial"/>
                <w:b/>
                <w:lang w:val="el-GR"/>
              </w:rPr>
              <w:t>Α/Α</w:t>
            </w:r>
          </w:p>
        </w:tc>
        <w:tc>
          <w:tcPr>
            <w:tcW w:w="5528" w:type="dxa"/>
          </w:tcPr>
          <w:p w:rsidR="00DF01BA" w:rsidRPr="007228B4" w:rsidRDefault="00DF01BA" w:rsidP="00DF01BA">
            <w:pPr>
              <w:jc w:val="both"/>
              <w:rPr>
                <w:rFonts w:ascii="Arial" w:hAnsi="Arial" w:cs="Arial"/>
                <w:b/>
                <w:lang w:val="el-GR"/>
              </w:rPr>
            </w:pPr>
            <w:r w:rsidRPr="007228B4">
              <w:rPr>
                <w:rFonts w:ascii="Arial" w:hAnsi="Arial" w:cs="Arial"/>
                <w:b/>
                <w:lang w:val="el-GR"/>
              </w:rPr>
              <w:t>Ειδικότητα</w:t>
            </w:r>
          </w:p>
        </w:tc>
      </w:tr>
      <w:tr w:rsidR="00DF01BA" w:rsidRPr="007228B4" w:rsidTr="00DF01BA">
        <w:trPr>
          <w:jc w:val="center"/>
        </w:trPr>
        <w:tc>
          <w:tcPr>
            <w:tcW w:w="741" w:type="dxa"/>
          </w:tcPr>
          <w:p w:rsidR="00DF01BA" w:rsidRPr="007228B4" w:rsidRDefault="00DF01BA" w:rsidP="00DF01BA">
            <w:pPr>
              <w:jc w:val="center"/>
              <w:rPr>
                <w:rFonts w:ascii="Arial" w:hAnsi="Arial" w:cs="Arial"/>
                <w:lang w:val="el-GR"/>
              </w:rPr>
            </w:pPr>
            <w:r w:rsidRPr="007228B4">
              <w:rPr>
                <w:rFonts w:ascii="Arial" w:hAnsi="Arial" w:cs="Arial"/>
                <w:lang w:val="el-GR"/>
              </w:rPr>
              <w:t>1</w:t>
            </w:r>
          </w:p>
        </w:tc>
        <w:tc>
          <w:tcPr>
            <w:tcW w:w="5528" w:type="dxa"/>
          </w:tcPr>
          <w:p w:rsidR="00DF01BA" w:rsidRPr="007228B4" w:rsidRDefault="00992FD1" w:rsidP="00DF01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Η</w:t>
            </w:r>
            <w:r w:rsidR="00DF01BA" w:rsidRPr="007228B4">
              <w:rPr>
                <w:rFonts w:ascii="Arial" w:hAnsi="Arial" w:cs="Arial"/>
                <w:lang w:val="el-GR"/>
              </w:rPr>
              <w:t>λεκτρολόγος αυτοκινήτων</w:t>
            </w:r>
          </w:p>
        </w:tc>
      </w:tr>
      <w:tr w:rsidR="00DF01BA" w:rsidRPr="007228B4" w:rsidTr="00DF01BA">
        <w:trPr>
          <w:jc w:val="center"/>
        </w:trPr>
        <w:tc>
          <w:tcPr>
            <w:tcW w:w="741" w:type="dxa"/>
          </w:tcPr>
          <w:p w:rsidR="00DF01BA" w:rsidRPr="007228B4" w:rsidRDefault="00DF01BA" w:rsidP="00DF01BA">
            <w:pPr>
              <w:jc w:val="center"/>
              <w:rPr>
                <w:rFonts w:ascii="Arial" w:hAnsi="Arial" w:cs="Arial"/>
                <w:lang w:val="el-GR"/>
              </w:rPr>
            </w:pPr>
            <w:r w:rsidRPr="007228B4">
              <w:rPr>
                <w:rFonts w:ascii="Arial" w:hAnsi="Arial" w:cs="Arial"/>
                <w:lang w:val="el-GR"/>
              </w:rPr>
              <w:t>2</w:t>
            </w:r>
          </w:p>
        </w:tc>
        <w:tc>
          <w:tcPr>
            <w:tcW w:w="5528" w:type="dxa"/>
          </w:tcPr>
          <w:p w:rsidR="00DF01BA" w:rsidRPr="007228B4" w:rsidRDefault="00992FD1" w:rsidP="00DF01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Μ</w:t>
            </w:r>
            <w:r w:rsidR="00DF01BA" w:rsidRPr="007228B4">
              <w:rPr>
                <w:rFonts w:ascii="Arial" w:hAnsi="Arial" w:cs="Arial"/>
                <w:lang w:val="el-GR"/>
              </w:rPr>
              <w:t>ηχανικός αυτοκινήτων</w:t>
            </w:r>
          </w:p>
        </w:tc>
      </w:tr>
      <w:tr w:rsidR="00DF01BA" w:rsidRPr="007228B4" w:rsidTr="00DF01BA">
        <w:trPr>
          <w:jc w:val="center"/>
        </w:trPr>
        <w:tc>
          <w:tcPr>
            <w:tcW w:w="741" w:type="dxa"/>
          </w:tcPr>
          <w:p w:rsidR="00DF01BA" w:rsidRPr="007228B4" w:rsidRDefault="00DF01BA" w:rsidP="00DF01BA">
            <w:pPr>
              <w:jc w:val="center"/>
              <w:rPr>
                <w:rFonts w:ascii="Arial" w:hAnsi="Arial" w:cs="Arial"/>
                <w:lang w:val="el-GR"/>
              </w:rPr>
            </w:pPr>
            <w:r w:rsidRPr="007228B4">
              <w:rPr>
                <w:rFonts w:ascii="Arial" w:hAnsi="Arial" w:cs="Arial"/>
                <w:lang w:val="el-GR"/>
              </w:rPr>
              <w:t>3</w:t>
            </w:r>
          </w:p>
        </w:tc>
        <w:tc>
          <w:tcPr>
            <w:tcW w:w="5528" w:type="dxa"/>
          </w:tcPr>
          <w:p w:rsidR="00DF01BA" w:rsidRPr="007228B4" w:rsidRDefault="00992FD1" w:rsidP="00DF01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Μ</w:t>
            </w:r>
            <w:r w:rsidR="00DF01BA" w:rsidRPr="007228B4">
              <w:rPr>
                <w:rFonts w:ascii="Arial" w:hAnsi="Arial" w:cs="Arial"/>
                <w:lang w:val="el-GR"/>
              </w:rPr>
              <w:t>ηχανικός μοτοποδηλάτων και μοτοσικλετών</w:t>
            </w:r>
          </w:p>
        </w:tc>
      </w:tr>
      <w:tr w:rsidR="00DF01BA" w:rsidRPr="007228B4" w:rsidTr="00DF01BA">
        <w:trPr>
          <w:jc w:val="center"/>
        </w:trPr>
        <w:tc>
          <w:tcPr>
            <w:tcW w:w="741" w:type="dxa"/>
          </w:tcPr>
          <w:p w:rsidR="00DF01BA" w:rsidRPr="007228B4" w:rsidRDefault="00DF01BA" w:rsidP="00DF01BA">
            <w:pPr>
              <w:jc w:val="center"/>
              <w:rPr>
                <w:rFonts w:ascii="Arial" w:hAnsi="Arial" w:cs="Arial"/>
                <w:lang w:val="el-GR"/>
              </w:rPr>
            </w:pPr>
            <w:r w:rsidRPr="007228B4">
              <w:rPr>
                <w:rFonts w:ascii="Arial" w:hAnsi="Arial" w:cs="Arial"/>
                <w:lang w:val="el-GR"/>
              </w:rPr>
              <w:t>4</w:t>
            </w:r>
          </w:p>
        </w:tc>
        <w:tc>
          <w:tcPr>
            <w:tcW w:w="5528" w:type="dxa"/>
          </w:tcPr>
          <w:p w:rsidR="00DF01BA" w:rsidRPr="007228B4" w:rsidRDefault="00992FD1" w:rsidP="00DF01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Τ</w:t>
            </w:r>
            <w:r w:rsidR="00DF01BA" w:rsidRPr="007228B4">
              <w:rPr>
                <w:rFonts w:ascii="Arial" w:hAnsi="Arial" w:cs="Arial"/>
                <w:lang w:val="el-GR"/>
              </w:rPr>
              <w:t>εχνίτης αμαξωμάτων (</w:t>
            </w:r>
            <w:proofErr w:type="spellStart"/>
            <w:r w:rsidR="00DF01BA" w:rsidRPr="007228B4">
              <w:rPr>
                <w:rFonts w:ascii="Arial" w:hAnsi="Arial" w:cs="Arial"/>
                <w:lang w:val="el-GR"/>
              </w:rPr>
              <w:t>ισιωτές</w:t>
            </w:r>
            <w:proofErr w:type="spellEnd"/>
            <w:r w:rsidR="00DF01BA" w:rsidRPr="007228B4">
              <w:rPr>
                <w:rFonts w:ascii="Arial" w:hAnsi="Arial" w:cs="Arial"/>
                <w:lang w:val="el-GR"/>
              </w:rPr>
              <w:t>)</w:t>
            </w:r>
          </w:p>
        </w:tc>
      </w:tr>
      <w:tr w:rsidR="00DF01BA" w:rsidRPr="007228B4" w:rsidTr="00DF01BA">
        <w:trPr>
          <w:jc w:val="center"/>
        </w:trPr>
        <w:tc>
          <w:tcPr>
            <w:tcW w:w="741" w:type="dxa"/>
          </w:tcPr>
          <w:p w:rsidR="00DF01BA" w:rsidRPr="007228B4" w:rsidRDefault="00DF01BA" w:rsidP="00DF01BA">
            <w:pPr>
              <w:jc w:val="center"/>
              <w:rPr>
                <w:rFonts w:ascii="Arial" w:hAnsi="Arial" w:cs="Arial"/>
                <w:lang w:val="el-GR"/>
              </w:rPr>
            </w:pPr>
            <w:r w:rsidRPr="007228B4">
              <w:rPr>
                <w:rFonts w:ascii="Arial" w:hAnsi="Arial" w:cs="Arial"/>
                <w:lang w:val="el-GR"/>
              </w:rPr>
              <w:t>5</w:t>
            </w:r>
          </w:p>
        </w:tc>
        <w:tc>
          <w:tcPr>
            <w:tcW w:w="5528" w:type="dxa"/>
          </w:tcPr>
          <w:p w:rsidR="00DF01BA" w:rsidRPr="007228B4" w:rsidRDefault="00992FD1" w:rsidP="00DF01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Τ</w:t>
            </w:r>
            <w:r w:rsidR="00DF01BA" w:rsidRPr="007228B4">
              <w:rPr>
                <w:rFonts w:ascii="Arial" w:hAnsi="Arial" w:cs="Arial"/>
                <w:lang w:val="el-GR"/>
              </w:rPr>
              <w:t>εχνίτης αντλιών πετρελαιοκινητήρων</w:t>
            </w:r>
          </w:p>
        </w:tc>
      </w:tr>
      <w:tr w:rsidR="00DF01BA" w:rsidRPr="007228B4" w:rsidTr="00DF01BA">
        <w:trPr>
          <w:jc w:val="center"/>
        </w:trPr>
        <w:tc>
          <w:tcPr>
            <w:tcW w:w="741" w:type="dxa"/>
          </w:tcPr>
          <w:p w:rsidR="00DF01BA" w:rsidRPr="007228B4" w:rsidRDefault="00DF01BA" w:rsidP="00DF01BA">
            <w:pPr>
              <w:jc w:val="center"/>
              <w:rPr>
                <w:rFonts w:ascii="Arial" w:hAnsi="Arial" w:cs="Arial"/>
                <w:lang w:val="el-GR"/>
              </w:rPr>
            </w:pPr>
            <w:r w:rsidRPr="007228B4">
              <w:rPr>
                <w:rFonts w:ascii="Arial" w:hAnsi="Arial" w:cs="Arial"/>
                <w:lang w:val="el-GR"/>
              </w:rPr>
              <w:t>6</w:t>
            </w:r>
          </w:p>
        </w:tc>
        <w:tc>
          <w:tcPr>
            <w:tcW w:w="5528" w:type="dxa"/>
          </w:tcPr>
          <w:p w:rsidR="00DF01BA" w:rsidRPr="007228B4" w:rsidRDefault="00992FD1" w:rsidP="00DF01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Τ</w:t>
            </w:r>
            <w:r w:rsidR="00DF01BA" w:rsidRPr="007228B4">
              <w:rPr>
                <w:rFonts w:ascii="Arial" w:hAnsi="Arial" w:cs="Arial"/>
                <w:lang w:val="el-GR"/>
              </w:rPr>
              <w:t>εχνίτης βαφής</w:t>
            </w:r>
          </w:p>
        </w:tc>
      </w:tr>
      <w:tr w:rsidR="00DF01BA" w:rsidRPr="007228B4" w:rsidTr="00DF01BA">
        <w:trPr>
          <w:jc w:val="center"/>
        </w:trPr>
        <w:tc>
          <w:tcPr>
            <w:tcW w:w="741" w:type="dxa"/>
          </w:tcPr>
          <w:p w:rsidR="00DF01BA" w:rsidRPr="007228B4" w:rsidRDefault="00DF01BA" w:rsidP="00DF01BA">
            <w:pPr>
              <w:jc w:val="center"/>
              <w:rPr>
                <w:rFonts w:ascii="Arial" w:hAnsi="Arial" w:cs="Arial"/>
                <w:lang w:val="el-GR"/>
              </w:rPr>
            </w:pPr>
            <w:r w:rsidRPr="007228B4">
              <w:rPr>
                <w:rFonts w:ascii="Arial" w:hAnsi="Arial" w:cs="Arial"/>
                <w:lang w:val="el-GR"/>
              </w:rPr>
              <w:t>7</w:t>
            </w:r>
          </w:p>
        </w:tc>
        <w:tc>
          <w:tcPr>
            <w:tcW w:w="5528" w:type="dxa"/>
          </w:tcPr>
          <w:p w:rsidR="00DF01BA" w:rsidRPr="007228B4" w:rsidRDefault="00992FD1" w:rsidP="00DF01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Τ</w:t>
            </w:r>
            <w:r w:rsidR="00DF01BA" w:rsidRPr="007228B4">
              <w:rPr>
                <w:rFonts w:ascii="Arial" w:hAnsi="Arial" w:cs="Arial"/>
                <w:lang w:val="el-GR"/>
              </w:rPr>
              <w:t>εχνίτης ελαστικών</w:t>
            </w:r>
          </w:p>
        </w:tc>
      </w:tr>
      <w:tr w:rsidR="00DF01BA" w:rsidRPr="007228B4" w:rsidTr="00DF01BA">
        <w:trPr>
          <w:jc w:val="center"/>
        </w:trPr>
        <w:tc>
          <w:tcPr>
            <w:tcW w:w="741" w:type="dxa"/>
          </w:tcPr>
          <w:p w:rsidR="00DF01BA" w:rsidRPr="007228B4" w:rsidRDefault="00DF01BA" w:rsidP="00DF01BA">
            <w:pPr>
              <w:jc w:val="center"/>
              <w:rPr>
                <w:rFonts w:ascii="Arial" w:hAnsi="Arial" w:cs="Arial"/>
                <w:lang w:val="el-GR"/>
              </w:rPr>
            </w:pPr>
            <w:r w:rsidRPr="007228B4">
              <w:rPr>
                <w:rFonts w:ascii="Arial" w:hAnsi="Arial" w:cs="Arial"/>
                <w:lang w:val="el-GR"/>
              </w:rPr>
              <w:t>8</w:t>
            </w:r>
          </w:p>
        </w:tc>
        <w:tc>
          <w:tcPr>
            <w:tcW w:w="5528" w:type="dxa"/>
          </w:tcPr>
          <w:p w:rsidR="00DF01BA" w:rsidRPr="007228B4" w:rsidRDefault="00992FD1" w:rsidP="00DF01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Τ</w:t>
            </w:r>
            <w:r w:rsidR="00DF01BA" w:rsidRPr="007228B4">
              <w:rPr>
                <w:rFonts w:ascii="Arial" w:hAnsi="Arial" w:cs="Arial"/>
                <w:lang w:val="el-GR"/>
              </w:rPr>
              <w:t>εχνίτης ευθυγράμμισης συστήματος διεύθυνσης</w:t>
            </w:r>
          </w:p>
        </w:tc>
      </w:tr>
      <w:tr w:rsidR="00DF01BA" w:rsidRPr="007228B4" w:rsidTr="00DF01BA">
        <w:trPr>
          <w:jc w:val="center"/>
        </w:trPr>
        <w:tc>
          <w:tcPr>
            <w:tcW w:w="741" w:type="dxa"/>
          </w:tcPr>
          <w:p w:rsidR="00DF01BA" w:rsidRPr="007228B4" w:rsidRDefault="00DF01BA" w:rsidP="00DF01BA">
            <w:pPr>
              <w:jc w:val="center"/>
              <w:rPr>
                <w:rFonts w:ascii="Arial" w:hAnsi="Arial" w:cs="Arial"/>
                <w:lang w:val="el-GR"/>
              </w:rPr>
            </w:pPr>
            <w:r w:rsidRPr="007228B4">
              <w:rPr>
                <w:rFonts w:ascii="Arial" w:hAnsi="Arial" w:cs="Arial"/>
                <w:lang w:val="el-GR"/>
              </w:rPr>
              <w:t>9</w:t>
            </w:r>
          </w:p>
        </w:tc>
        <w:tc>
          <w:tcPr>
            <w:tcW w:w="5528" w:type="dxa"/>
          </w:tcPr>
          <w:p w:rsidR="00DF01BA" w:rsidRPr="007228B4" w:rsidRDefault="00992FD1" w:rsidP="00DF01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Τ</w:t>
            </w:r>
            <w:r w:rsidR="00DF01BA" w:rsidRPr="007228B4">
              <w:rPr>
                <w:rFonts w:ascii="Arial" w:hAnsi="Arial" w:cs="Arial"/>
                <w:lang w:val="el-GR"/>
              </w:rPr>
              <w:t>εχνίτης κλιματισμού</w:t>
            </w:r>
          </w:p>
        </w:tc>
      </w:tr>
      <w:tr w:rsidR="00DF01BA" w:rsidRPr="007228B4" w:rsidTr="00DF01BA">
        <w:trPr>
          <w:jc w:val="center"/>
        </w:trPr>
        <w:tc>
          <w:tcPr>
            <w:tcW w:w="741" w:type="dxa"/>
          </w:tcPr>
          <w:p w:rsidR="00DF01BA" w:rsidRPr="007228B4" w:rsidRDefault="00DF01BA" w:rsidP="00DF01BA">
            <w:pPr>
              <w:jc w:val="center"/>
              <w:rPr>
                <w:rFonts w:ascii="Arial" w:hAnsi="Arial" w:cs="Arial"/>
                <w:lang w:val="el-GR"/>
              </w:rPr>
            </w:pPr>
            <w:r w:rsidRPr="007228B4">
              <w:rPr>
                <w:rFonts w:ascii="Arial" w:hAnsi="Arial" w:cs="Arial"/>
                <w:lang w:val="el-GR"/>
              </w:rPr>
              <w:t>10</w:t>
            </w:r>
          </w:p>
        </w:tc>
        <w:tc>
          <w:tcPr>
            <w:tcW w:w="5528" w:type="dxa"/>
          </w:tcPr>
          <w:p w:rsidR="00DF01BA" w:rsidRPr="007228B4" w:rsidRDefault="00992FD1" w:rsidP="00DF01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Τ</w:t>
            </w:r>
            <w:r w:rsidR="00DF01BA" w:rsidRPr="007228B4">
              <w:rPr>
                <w:rFonts w:ascii="Arial" w:hAnsi="Arial" w:cs="Arial"/>
                <w:lang w:val="el-GR"/>
              </w:rPr>
              <w:t>εχνίτης οργάνων</w:t>
            </w:r>
          </w:p>
        </w:tc>
      </w:tr>
      <w:tr w:rsidR="00DF01BA" w:rsidRPr="007228B4" w:rsidTr="00DF01BA">
        <w:trPr>
          <w:jc w:val="center"/>
        </w:trPr>
        <w:tc>
          <w:tcPr>
            <w:tcW w:w="741" w:type="dxa"/>
          </w:tcPr>
          <w:p w:rsidR="00DF01BA" w:rsidRPr="007228B4" w:rsidRDefault="00DF01BA" w:rsidP="00DF01BA">
            <w:pPr>
              <w:jc w:val="center"/>
              <w:rPr>
                <w:rFonts w:ascii="Arial" w:hAnsi="Arial" w:cs="Arial"/>
                <w:lang w:val="el-GR"/>
              </w:rPr>
            </w:pPr>
            <w:r w:rsidRPr="007228B4">
              <w:rPr>
                <w:rFonts w:ascii="Arial" w:hAnsi="Arial" w:cs="Arial"/>
                <w:lang w:val="el-GR"/>
              </w:rPr>
              <w:t>11</w:t>
            </w:r>
          </w:p>
        </w:tc>
        <w:tc>
          <w:tcPr>
            <w:tcW w:w="5528" w:type="dxa"/>
          </w:tcPr>
          <w:p w:rsidR="00DF01BA" w:rsidRPr="007228B4" w:rsidRDefault="00992FD1" w:rsidP="00DF01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Τ</w:t>
            </w:r>
            <w:r w:rsidR="00DF01BA" w:rsidRPr="007228B4">
              <w:rPr>
                <w:rFonts w:ascii="Arial" w:hAnsi="Arial" w:cs="Arial"/>
                <w:lang w:val="el-GR"/>
              </w:rPr>
              <w:t>εχνίτης συστημάτων εξαγωγής καυσαερίων</w:t>
            </w:r>
          </w:p>
        </w:tc>
      </w:tr>
      <w:tr w:rsidR="00DF01BA" w:rsidRPr="001A397D" w:rsidTr="00DF01BA">
        <w:trPr>
          <w:jc w:val="center"/>
        </w:trPr>
        <w:tc>
          <w:tcPr>
            <w:tcW w:w="741" w:type="dxa"/>
          </w:tcPr>
          <w:p w:rsidR="00DF01BA" w:rsidRPr="001A397D" w:rsidRDefault="00DF01BA" w:rsidP="00DF01BA">
            <w:pPr>
              <w:jc w:val="center"/>
              <w:rPr>
                <w:rFonts w:ascii="Arial" w:hAnsi="Arial" w:cs="Arial"/>
                <w:lang w:val="el-GR"/>
              </w:rPr>
            </w:pPr>
            <w:r w:rsidRPr="001A397D">
              <w:rPr>
                <w:rFonts w:ascii="Arial" w:hAnsi="Arial" w:cs="Arial"/>
                <w:lang w:val="el-GR"/>
              </w:rPr>
              <w:t>12</w:t>
            </w:r>
          </w:p>
        </w:tc>
        <w:tc>
          <w:tcPr>
            <w:tcW w:w="5528" w:type="dxa"/>
          </w:tcPr>
          <w:p w:rsidR="00DF01BA" w:rsidRPr="001A397D" w:rsidRDefault="00992FD1" w:rsidP="00DF01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Τ</w:t>
            </w:r>
            <w:r w:rsidR="00DF01BA" w:rsidRPr="001A397D">
              <w:rPr>
                <w:rFonts w:ascii="Arial" w:hAnsi="Arial" w:cs="Arial"/>
                <w:lang w:val="el-GR"/>
              </w:rPr>
              <w:t>εχνίτης ψυγείων (</w:t>
            </w:r>
            <w:proofErr w:type="spellStart"/>
            <w:r w:rsidR="00DF01BA" w:rsidRPr="001A397D">
              <w:rPr>
                <w:rFonts w:ascii="Arial" w:hAnsi="Arial" w:cs="Arial"/>
                <w:lang w:val="el-GR"/>
              </w:rPr>
              <w:t>ραδιατέρ</w:t>
            </w:r>
            <w:proofErr w:type="spellEnd"/>
            <w:r w:rsidR="00DF01BA" w:rsidRPr="001A397D">
              <w:rPr>
                <w:rFonts w:ascii="Arial" w:hAnsi="Arial" w:cs="Arial"/>
                <w:lang w:val="el-GR"/>
              </w:rPr>
              <w:t>)</w:t>
            </w:r>
          </w:p>
        </w:tc>
      </w:tr>
    </w:tbl>
    <w:p w:rsidR="00DF01BA" w:rsidRPr="005B28D1" w:rsidRDefault="00DF01BA">
      <w:pPr>
        <w:rPr>
          <w:rFonts w:ascii="Arial" w:hAnsi="Arial" w:cs="Arial"/>
          <w:b/>
          <w:sz w:val="24"/>
          <w:szCs w:val="24"/>
          <w:lang w:val="el-GR"/>
        </w:rPr>
      </w:pPr>
    </w:p>
    <w:sectPr w:rsidR="00DF01BA" w:rsidRPr="005B28D1" w:rsidSect="00E05EA7">
      <w:headerReference w:type="default" r:id="rId7"/>
      <w:footerReference w:type="default" r:id="rId8"/>
      <w:pgSz w:w="12240" w:h="15840"/>
      <w:pgMar w:top="1134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04" w:rsidRDefault="00146904" w:rsidP="007228B4">
      <w:pPr>
        <w:spacing w:after="0" w:line="240" w:lineRule="auto"/>
      </w:pPr>
      <w:r>
        <w:separator/>
      </w:r>
    </w:p>
  </w:endnote>
  <w:endnote w:type="continuationSeparator" w:id="0">
    <w:p w:rsidR="00146904" w:rsidRDefault="00146904" w:rsidP="0072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FB" w:rsidRPr="0082221E" w:rsidRDefault="00DC5BF9">
    <w:pPr>
      <w:pStyle w:val="Footer"/>
      <w:rPr>
        <w:sz w:val="14"/>
        <w:szCs w:val="14"/>
      </w:rPr>
    </w:pPr>
    <w:fldSimple w:instr=" FILENAME  \p  \* MERGEFORMAT ">
      <w:r w:rsidR="00FD4983" w:rsidRPr="00FD4983">
        <w:rPr>
          <w:noProof/>
          <w:sz w:val="14"/>
          <w:szCs w:val="14"/>
        </w:rPr>
        <w:t>Z:\Implementation of Legislation\ΜΗΧΑΝΟΛΟΓΙΚΑ\ΔΡΑΣΤΗΡΙΟΤΗΤΕΣ\Τεχνίτες Οχημάτων\ΑΝΑΚΟΙΝΩΣΕΙΣ\2015\ΕΞ ΕΠΑΓΓΕΛΜΑΤΟΣ\ΑΝΑΚΟΙΝΩΣΗ ΕΞ ΕΠΑΓΓΕΛΜΑΤΟΣ ΤΕΧΝ ΟΧΗΜΑΤΩΝ.docx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04" w:rsidRDefault="00146904" w:rsidP="007228B4">
      <w:pPr>
        <w:spacing w:after="0" w:line="240" w:lineRule="auto"/>
      </w:pPr>
      <w:r>
        <w:separator/>
      </w:r>
    </w:p>
  </w:footnote>
  <w:footnote w:type="continuationSeparator" w:id="0">
    <w:p w:rsidR="00146904" w:rsidRDefault="00146904" w:rsidP="0072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356" w:type="dxa"/>
      <w:tblLayout w:type="fixed"/>
      <w:tblCellMar>
        <w:left w:w="70" w:type="dxa"/>
        <w:right w:w="70" w:type="dxa"/>
      </w:tblCellMar>
      <w:tblLook w:val="0000"/>
    </w:tblPr>
    <w:tblGrid>
      <w:gridCol w:w="4537"/>
      <w:gridCol w:w="329"/>
      <w:gridCol w:w="480"/>
      <w:gridCol w:w="4294"/>
    </w:tblGrid>
    <w:tr w:rsidR="000E37FB" w:rsidRPr="0004433F" w:rsidTr="00FD4983">
      <w:trPr>
        <w:trHeight w:val="1211"/>
      </w:trPr>
      <w:tc>
        <w:tcPr>
          <w:tcW w:w="4537" w:type="dxa"/>
        </w:tcPr>
        <w:p w:rsidR="000E37FB" w:rsidRPr="0004433F" w:rsidRDefault="000E37FB" w:rsidP="00180FAD">
          <w:pPr>
            <w:spacing w:line="240" w:lineRule="auto"/>
            <w:jc w:val="center"/>
            <w:rPr>
              <w:rFonts w:ascii="Arial" w:hAnsi="Arial" w:cs="Arial"/>
              <w:color w:val="000000"/>
              <w:lang w:val="el-GR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581025" cy="600075"/>
                <wp:effectExtent l="19050" t="0" r="9525" b="0"/>
                <wp:docPr id="31" name="Picture 31" descr="http://www.cyprus.gov.cy/portal/portal.nsf/0/64b48afa606d5553c22570360021f4a4/Text/8.30D2?OpenElement&amp;FieldElemFormat=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http://www.cyprus.gov.cy/portal/portal.nsf/0/64b48afa606d5553c22570360021f4a4/Text/8.30D2?OpenElement&amp;FieldElemFormat=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" w:type="dxa"/>
        </w:tcPr>
        <w:p w:rsidR="000E37FB" w:rsidRPr="0004433F" w:rsidRDefault="000E37FB" w:rsidP="00180FAD">
          <w:pPr>
            <w:rPr>
              <w:rFonts w:ascii="Arial" w:hAnsi="Arial" w:cs="Arial"/>
              <w:b/>
            </w:rPr>
          </w:pPr>
        </w:p>
      </w:tc>
      <w:tc>
        <w:tcPr>
          <w:tcW w:w="480" w:type="dxa"/>
        </w:tcPr>
        <w:p w:rsidR="000E37FB" w:rsidRPr="0004433F" w:rsidRDefault="000E37FB" w:rsidP="00180FAD">
          <w:pPr>
            <w:jc w:val="both"/>
            <w:rPr>
              <w:rFonts w:ascii="Arial" w:hAnsi="Arial" w:cs="Arial"/>
            </w:rPr>
          </w:pPr>
        </w:p>
      </w:tc>
      <w:tc>
        <w:tcPr>
          <w:tcW w:w="4294" w:type="dxa"/>
        </w:tcPr>
        <w:p w:rsidR="000E37FB" w:rsidRPr="0004433F" w:rsidRDefault="000E37FB" w:rsidP="00180FAD">
          <w:pPr>
            <w:rPr>
              <w:rFonts w:ascii="Arial" w:hAnsi="Arial" w:cs="Arial"/>
              <w:b/>
              <w:u w:val="single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2362200" cy="723900"/>
                <wp:effectExtent l="19050" t="0" r="0" b="0"/>
                <wp:docPr id="32" name="Picture 3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37FB" w:rsidRPr="00FD4983" w:rsidTr="00FD4983">
      <w:tc>
        <w:tcPr>
          <w:tcW w:w="4537" w:type="dxa"/>
          <w:vAlign w:val="center"/>
        </w:tcPr>
        <w:p w:rsidR="000E37FB" w:rsidRPr="00E94939" w:rsidRDefault="000E37FB" w:rsidP="00180FAD">
          <w:pPr>
            <w:spacing w:after="0" w:line="360" w:lineRule="auto"/>
            <w:jc w:val="center"/>
            <w:rPr>
              <w:rFonts w:ascii="Arial" w:hAnsi="Arial" w:cs="Arial"/>
              <w:sz w:val="18"/>
              <w:szCs w:val="18"/>
              <w:lang w:val="el-GR"/>
            </w:rPr>
          </w:pPr>
          <w:r w:rsidRPr="00E94939">
            <w:rPr>
              <w:rFonts w:ascii="Arial" w:hAnsi="Arial" w:cs="Arial"/>
              <w:sz w:val="18"/>
              <w:szCs w:val="18"/>
              <w:lang w:val="el-GR"/>
            </w:rPr>
            <w:t>ΚΥΠΡΙΑΚΗ ΔΗΜΟΚΡΑΤΙΑ</w:t>
          </w:r>
        </w:p>
        <w:p w:rsidR="000E37FB" w:rsidRPr="00FD4983" w:rsidRDefault="000E37FB" w:rsidP="00180FAD">
          <w:pPr>
            <w:spacing w:after="0"/>
            <w:ind w:left="-70"/>
            <w:jc w:val="center"/>
            <w:rPr>
              <w:rFonts w:ascii="Arial" w:hAnsi="Arial" w:cs="Arial"/>
              <w:b/>
              <w:sz w:val="20"/>
              <w:szCs w:val="20"/>
              <w:lang w:val="el-GR"/>
            </w:rPr>
          </w:pPr>
          <w:r w:rsidRPr="00FD4983">
            <w:rPr>
              <w:rFonts w:ascii="Arial" w:hAnsi="Arial" w:cs="Arial"/>
              <w:b/>
              <w:sz w:val="20"/>
              <w:szCs w:val="20"/>
              <w:lang w:val="el-GR"/>
            </w:rPr>
            <w:t>ΥΠΟΥΡΓΕΙΟ</w:t>
          </w:r>
        </w:p>
        <w:p w:rsidR="000E37FB" w:rsidRPr="0004433F" w:rsidRDefault="00FD4983" w:rsidP="00180FAD">
          <w:pPr>
            <w:spacing w:after="0"/>
            <w:jc w:val="center"/>
            <w:rPr>
              <w:rFonts w:ascii="Arial" w:hAnsi="Arial" w:cs="Arial"/>
              <w:b/>
              <w:lang w:val="el-GR"/>
            </w:rPr>
          </w:pPr>
          <w:r w:rsidRPr="00FD4983">
            <w:rPr>
              <w:rFonts w:ascii="Arial" w:hAnsi="Arial" w:cs="Arial"/>
              <w:b/>
              <w:sz w:val="20"/>
              <w:szCs w:val="20"/>
            </w:rPr>
            <w:t>ΜΕΤΑΦΟΡΩΝ, ΕΠΙΚΟΙΝΩΝΙΩΝ ΚΑΙ ΕΡΓΩΝ</w:t>
          </w:r>
        </w:p>
      </w:tc>
      <w:tc>
        <w:tcPr>
          <w:tcW w:w="329" w:type="dxa"/>
        </w:tcPr>
        <w:p w:rsidR="000E37FB" w:rsidRPr="0004433F" w:rsidRDefault="000E37FB" w:rsidP="00180FAD">
          <w:pPr>
            <w:rPr>
              <w:rFonts w:ascii="Arial" w:hAnsi="Arial" w:cs="Arial"/>
              <w:lang w:val="el-GR"/>
            </w:rPr>
          </w:pPr>
        </w:p>
      </w:tc>
      <w:tc>
        <w:tcPr>
          <w:tcW w:w="480" w:type="dxa"/>
        </w:tcPr>
        <w:p w:rsidR="000E37FB" w:rsidRPr="0004433F" w:rsidRDefault="000E37FB" w:rsidP="00180FAD">
          <w:pPr>
            <w:ind w:left="50"/>
            <w:jc w:val="center"/>
            <w:rPr>
              <w:rFonts w:ascii="Arial" w:hAnsi="Arial" w:cs="Arial"/>
              <w:lang w:val="el-GR"/>
            </w:rPr>
          </w:pPr>
        </w:p>
      </w:tc>
      <w:tc>
        <w:tcPr>
          <w:tcW w:w="4294" w:type="dxa"/>
        </w:tcPr>
        <w:p w:rsidR="000E37FB" w:rsidRPr="0004433F" w:rsidRDefault="000E37FB" w:rsidP="00180FAD">
          <w:pPr>
            <w:ind w:left="-70"/>
            <w:rPr>
              <w:rFonts w:ascii="Arial" w:hAnsi="Arial" w:cs="Arial"/>
              <w:b/>
              <w:lang w:val="el-GR"/>
            </w:rPr>
          </w:pPr>
        </w:p>
      </w:tc>
    </w:tr>
  </w:tbl>
  <w:p w:rsidR="007228B4" w:rsidRPr="000E37FB" w:rsidRDefault="007228B4">
    <w:pPr>
      <w:pStyle w:val="Header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327"/>
    <w:multiLevelType w:val="hybridMultilevel"/>
    <w:tmpl w:val="33966504"/>
    <w:lvl w:ilvl="0" w:tplc="E7065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61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1E3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C65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36C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F8D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F48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586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724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9"/>
  </w:hdrShapeDefaults>
  <w:footnotePr>
    <w:footnote w:id="-1"/>
    <w:footnote w:id="0"/>
  </w:footnotePr>
  <w:endnotePr>
    <w:endnote w:id="-1"/>
    <w:endnote w:id="0"/>
  </w:endnotePr>
  <w:compat/>
  <w:rsids>
    <w:rsidRoot w:val="00CC04FA"/>
    <w:rsid w:val="00010AF6"/>
    <w:rsid w:val="0001352B"/>
    <w:rsid w:val="00042A92"/>
    <w:rsid w:val="0005169F"/>
    <w:rsid w:val="000A3CAB"/>
    <w:rsid w:val="000C0F73"/>
    <w:rsid w:val="000E37FB"/>
    <w:rsid w:val="00146904"/>
    <w:rsid w:val="00165CE3"/>
    <w:rsid w:val="0018275C"/>
    <w:rsid w:val="001A397D"/>
    <w:rsid w:val="00272FCA"/>
    <w:rsid w:val="002845E3"/>
    <w:rsid w:val="002F5636"/>
    <w:rsid w:val="00312724"/>
    <w:rsid w:val="003953ED"/>
    <w:rsid w:val="003E3190"/>
    <w:rsid w:val="003F5D76"/>
    <w:rsid w:val="00422E73"/>
    <w:rsid w:val="00472AE7"/>
    <w:rsid w:val="005150CA"/>
    <w:rsid w:val="00557DCC"/>
    <w:rsid w:val="005B28D1"/>
    <w:rsid w:val="005B6B40"/>
    <w:rsid w:val="005D3BDE"/>
    <w:rsid w:val="0060098F"/>
    <w:rsid w:val="00617952"/>
    <w:rsid w:val="00665D1C"/>
    <w:rsid w:val="007228B4"/>
    <w:rsid w:val="007E247F"/>
    <w:rsid w:val="00817E16"/>
    <w:rsid w:val="0082221E"/>
    <w:rsid w:val="0087130B"/>
    <w:rsid w:val="0087421F"/>
    <w:rsid w:val="0093541D"/>
    <w:rsid w:val="0096423D"/>
    <w:rsid w:val="00982893"/>
    <w:rsid w:val="00992FD1"/>
    <w:rsid w:val="009A7A20"/>
    <w:rsid w:val="00A34893"/>
    <w:rsid w:val="00A50EF7"/>
    <w:rsid w:val="00A57B2B"/>
    <w:rsid w:val="00A6035B"/>
    <w:rsid w:val="00A739B0"/>
    <w:rsid w:val="00AA4FCF"/>
    <w:rsid w:val="00AF0E27"/>
    <w:rsid w:val="00AF482D"/>
    <w:rsid w:val="00B030F6"/>
    <w:rsid w:val="00B179B1"/>
    <w:rsid w:val="00B44EF4"/>
    <w:rsid w:val="00B559C2"/>
    <w:rsid w:val="00BB4341"/>
    <w:rsid w:val="00BF5E2C"/>
    <w:rsid w:val="00C609C8"/>
    <w:rsid w:val="00C77CBD"/>
    <w:rsid w:val="00CC04FA"/>
    <w:rsid w:val="00CE0898"/>
    <w:rsid w:val="00CF3094"/>
    <w:rsid w:val="00D051A3"/>
    <w:rsid w:val="00DC5BF9"/>
    <w:rsid w:val="00DF01BA"/>
    <w:rsid w:val="00DF4C44"/>
    <w:rsid w:val="00E05EA7"/>
    <w:rsid w:val="00E94939"/>
    <w:rsid w:val="00F15E2B"/>
    <w:rsid w:val="00F42EC8"/>
    <w:rsid w:val="00F9152C"/>
    <w:rsid w:val="00FB76B6"/>
    <w:rsid w:val="00FD14F8"/>
    <w:rsid w:val="00FD4983"/>
    <w:rsid w:val="00FD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rsid w:val="00CC04FA"/>
    <w:pPr>
      <w:spacing w:after="0" w:line="240" w:lineRule="auto"/>
      <w:ind w:left="900" w:hanging="360"/>
    </w:pPr>
    <w:rPr>
      <w:rFonts w:ascii="Arial" w:eastAsia="Times New Roman" w:hAnsi="Arial" w:cs="Arial"/>
      <w:sz w:val="24"/>
      <w:szCs w:val="24"/>
      <w:lang w:val="el-GR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04FA"/>
    <w:rPr>
      <w:rFonts w:ascii="Arial" w:eastAsia="Times New Roman" w:hAnsi="Arial" w:cs="Arial"/>
      <w:sz w:val="24"/>
      <w:szCs w:val="24"/>
      <w:lang w:val="el-GR"/>
    </w:rPr>
  </w:style>
  <w:style w:type="table" w:styleId="TableGrid">
    <w:name w:val="Table Grid"/>
    <w:basedOn w:val="TableNormal"/>
    <w:uiPriority w:val="59"/>
    <w:rsid w:val="00B17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9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28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8B4"/>
  </w:style>
  <w:style w:type="paragraph" w:styleId="Footer">
    <w:name w:val="footer"/>
    <w:basedOn w:val="Normal"/>
    <w:link w:val="FooterChar"/>
    <w:uiPriority w:val="99"/>
    <w:semiHidden/>
    <w:unhideWhenUsed/>
    <w:rsid w:val="007228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8B4"/>
  </w:style>
  <w:style w:type="paragraph" w:styleId="BalloonText">
    <w:name w:val="Balloon Text"/>
    <w:basedOn w:val="Normal"/>
    <w:link w:val="BalloonTextChar"/>
    <w:uiPriority w:val="99"/>
    <w:semiHidden/>
    <w:unhideWhenUsed/>
    <w:rsid w:val="000E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80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839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48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7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5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86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41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3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0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36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46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cyprus.gov.cy/portal/portal.nsf/0/64b48afa606d5553c22570360021f4a4/Text/8.30D2?OpenElement&amp;FieldElemFormat=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cpapadopoulos</dc:creator>
  <cp:keywords/>
  <dc:description/>
  <cp:lastModifiedBy>ccharalambous</cp:lastModifiedBy>
  <cp:revision>16</cp:revision>
  <cp:lastPrinted>2015-09-03T09:05:00Z</cp:lastPrinted>
  <dcterms:created xsi:type="dcterms:W3CDTF">2014-11-24T11:08:00Z</dcterms:created>
  <dcterms:modified xsi:type="dcterms:W3CDTF">2015-09-03T09:05:00Z</dcterms:modified>
</cp:coreProperties>
</file>